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14DC9" w14:textId="77777777" w:rsidR="002C35B8" w:rsidRDefault="002C35B8">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2C35B8" w14:paraId="78E14DCB" w14:textId="77777777">
        <w:tc>
          <w:tcPr>
            <w:tcW w:w="9026" w:type="dxa"/>
            <w:shd w:val="clear" w:color="auto" w:fill="auto"/>
            <w:tcMar>
              <w:top w:w="100" w:type="dxa"/>
              <w:left w:w="100" w:type="dxa"/>
              <w:bottom w:w="100" w:type="dxa"/>
              <w:right w:w="100" w:type="dxa"/>
            </w:tcMar>
          </w:tcPr>
          <w:p w14:paraId="78E14DCA" w14:textId="77777777" w:rsidR="002C35B8" w:rsidRDefault="00CE6AFC">
            <w:pPr>
              <w:widowControl w:val="0"/>
              <w:spacing w:after="0" w:line="240" w:lineRule="auto"/>
              <w:rPr>
                <w:rFonts w:ascii="Arial" w:eastAsia="Arial" w:hAnsi="Arial" w:cs="Arial"/>
                <w:b/>
                <w:highlight w:val="cyan"/>
              </w:rPr>
            </w:pPr>
            <w:r w:rsidRPr="00CE6AFC">
              <w:rPr>
                <w:rFonts w:ascii="Arial" w:eastAsia="Arial" w:hAnsi="Arial" w:cs="Arial"/>
                <w:b/>
              </w:rPr>
              <w:t>PLEASE RETAIN A COPY OF THIS SCHEDULE AS THIS FORMS PART OF YOUR CALL-OFF CONTRACT</w:t>
            </w:r>
          </w:p>
        </w:tc>
      </w:tr>
    </w:tbl>
    <w:p w14:paraId="78E14DCC" w14:textId="77777777" w:rsidR="002C35B8" w:rsidRDefault="002C35B8">
      <w:pPr>
        <w:spacing w:after="240" w:line="240" w:lineRule="auto"/>
        <w:jc w:val="both"/>
        <w:rPr>
          <w:rFonts w:ascii="Arial" w:eastAsia="Arial" w:hAnsi="Arial" w:cs="Arial"/>
          <w:b/>
          <w:sz w:val="36"/>
          <w:szCs w:val="36"/>
        </w:rPr>
      </w:pPr>
    </w:p>
    <w:p w14:paraId="78E14DCD" w14:textId="77777777" w:rsidR="002C35B8" w:rsidRDefault="00CE6AFC">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78E14DCE" w14:textId="77777777" w:rsidR="002C35B8" w:rsidRDefault="00CE6AFC">
      <w:pPr>
        <w:numPr>
          <w:ilvl w:val="0"/>
          <w:numId w:val="7"/>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8E14DCF"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15" w:type="dxa"/>
          <w:right w:w="115" w:type="dxa"/>
        </w:tblCellMar>
        <w:tblLook w:val="0400" w:firstRow="0" w:lastRow="0" w:firstColumn="0" w:lastColumn="0" w:noHBand="0" w:noVBand="1"/>
      </w:tblPr>
      <w:tblGrid>
        <w:gridCol w:w="2410"/>
        <w:gridCol w:w="5953"/>
      </w:tblGrid>
      <w:tr w:rsidR="002C35B8" w14:paraId="78E14DD5" w14:textId="77777777">
        <w:tc>
          <w:tcPr>
            <w:tcW w:w="2410" w:type="dxa"/>
            <w:shd w:val="clear" w:color="auto" w:fill="auto"/>
          </w:tcPr>
          <w:p w14:paraId="78E14DD0" w14:textId="77777777" w:rsidR="002C35B8" w:rsidRDefault="002C35B8">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78E14DD1"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78E14DD2" w14:textId="77777777" w:rsidR="002C35B8" w:rsidRDefault="002C35B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78E14DD3" w14:textId="77777777" w:rsidR="002C35B8" w:rsidRDefault="002C35B8">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78E14DD4" w14:textId="77777777" w:rsidR="002C35B8" w:rsidRDefault="00CE6AFC">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C35B8" w14:paraId="78E14DD8" w14:textId="77777777">
        <w:tc>
          <w:tcPr>
            <w:tcW w:w="2410" w:type="dxa"/>
            <w:shd w:val="clear" w:color="auto" w:fill="auto"/>
          </w:tcPr>
          <w:p w14:paraId="78E14DD6"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78E14DD7" w14:textId="77777777" w:rsidR="002C35B8" w:rsidRDefault="00CE6AFC">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2C35B8" w14:paraId="78E14DDB" w14:textId="77777777">
        <w:trPr>
          <w:trHeight w:val="359"/>
        </w:trPr>
        <w:tc>
          <w:tcPr>
            <w:tcW w:w="2410" w:type="dxa"/>
            <w:shd w:val="clear" w:color="auto" w:fill="auto"/>
          </w:tcPr>
          <w:p w14:paraId="78E14DD9"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78E14DDA" w14:textId="77777777" w:rsidR="002C35B8" w:rsidRDefault="00CE6AFC">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2C35B8" w14:paraId="78E14DDE" w14:textId="77777777">
        <w:tc>
          <w:tcPr>
            <w:tcW w:w="2410" w:type="dxa"/>
            <w:shd w:val="clear" w:color="auto" w:fill="auto"/>
          </w:tcPr>
          <w:p w14:paraId="78E14DDC" w14:textId="77777777" w:rsidR="002C35B8" w:rsidRDefault="002C35B8">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78E14DDD" w14:textId="77777777" w:rsidR="002C35B8" w:rsidRDefault="002C35B8">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p>
        </w:tc>
      </w:tr>
      <w:tr w:rsidR="002C35B8" w14:paraId="78E14DE1" w14:textId="77777777">
        <w:tc>
          <w:tcPr>
            <w:tcW w:w="2410" w:type="dxa"/>
            <w:shd w:val="clear" w:color="auto" w:fill="auto"/>
          </w:tcPr>
          <w:p w14:paraId="78E14DDF"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78E14DE0" w14:textId="77777777" w:rsidR="002C35B8" w:rsidRDefault="00CE6AFC">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2C35B8" w14:paraId="78E14DE4" w14:textId="77777777">
        <w:tc>
          <w:tcPr>
            <w:tcW w:w="2410" w:type="dxa"/>
            <w:shd w:val="clear" w:color="auto" w:fill="auto"/>
          </w:tcPr>
          <w:p w14:paraId="78E14DE2"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78E14DE3" w14:textId="77777777" w:rsidR="002C35B8" w:rsidRDefault="00CE6AFC">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 and</w:t>
            </w:r>
          </w:p>
        </w:tc>
      </w:tr>
      <w:tr w:rsidR="002C35B8" w14:paraId="78E14DE7" w14:textId="77777777">
        <w:tc>
          <w:tcPr>
            <w:tcW w:w="2410" w:type="dxa"/>
            <w:shd w:val="clear" w:color="auto" w:fill="auto"/>
          </w:tcPr>
          <w:p w14:paraId="78E14DE5" w14:textId="77777777" w:rsidR="002C35B8" w:rsidRDefault="00CE6AFC">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78E14DE6" w14:textId="77777777" w:rsidR="002C35B8" w:rsidRDefault="00CE6AFC">
            <w:pPr>
              <w:numPr>
                <w:ilvl w:val="0"/>
                <w:numId w:val="8"/>
              </w:numPr>
              <w:pBdr>
                <w:top w:val="nil"/>
                <w:left w:val="nil"/>
                <w:bottom w:val="nil"/>
                <w:right w:val="nil"/>
                <w:between w:val="nil"/>
              </w:pBdr>
              <w:tabs>
                <w:tab w:val="left" w:pos="-9"/>
                <w:tab w:val="left" w:pos="-179"/>
              </w:tabs>
              <w:spacing w:after="120" w:line="240" w:lineRule="auto"/>
              <w:rPr>
                <w:rFonts w:ascii="Arial" w:eastAsia="Arial" w:hAnsi="Arial" w:cs="Arial"/>
                <w:color w:val="000000"/>
                <w:sz w:val="24"/>
                <w:szCs w:val="24"/>
              </w:rPr>
            </w:pPr>
            <w:r>
              <w:rPr>
                <w:rFonts w:ascii="Arial" w:eastAsia="Arial" w:hAnsi="Arial" w:cs="Arial"/>
                <w:color w:val="000000"/>
                <w:sz w:val="24"/>
                <w:szCs w:val="24"/>
              </w:rPr>
              <w:t>shall be as set out against the relevant Service Level in the Annex to Part A of this Schedule.</w:t>
            </w:r>
          </w:p>
        </w:tc>
      </w:tr>
    </w:tbl>
    <w:p w14:paraId="78E14DE8" w14:textId="77777777" w:rsidR="002C35B8" w:rsidRDefault="00CE6AFC">
      <w:pPr>
        <w:numPr>
          <w:ilvl w:val="0"/>
          <w:numId w:val="7"/>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don’t meet the Service Levels</w:t>
      </w:r>
    </w:p>
    <w:p w14:paraId="78E14DE9"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shall at all times provide the Deliverables to meet or exceed the Service Level Performance Measure for each Service Level.</w:t>
      </w:r>
    </w:p>
    <w:p w14:paraId="78E14DEA"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78E14DEB"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14:paraId="78E14DEC"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A Service Credit shall be the Buyer’s exclusive financial remedy for a Service Level Failure except where:</w:t>
      </w:r>
    </w:p>
    <w:p w14:paraId="78E14DED"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has over the previous (twelve) 12 Month period exceeded the Service Credit Cap; and/or</w:t>
      </w:r>
    </w:p>
    <w:p w14:paraId="78E14DEE"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Level Failure:</w:t>
      </w:r>
    </w:p>
    <w:p w14:paraId="78E14DEF" w14:textId="77777777" w:rsidR="002C35B8" w:rsidRDefault="00CE6AFC">
      <w:pPr>
        <w:numPr>
          <w:ilvl w:val="3"/>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exceeds the relevant Service Level Threshold;</w:t>
      </w:r>
    </w:p>
    <w:p w14:paraId="78E14DF0" w14:textId="77777777" w:rsidR="002C35B8" w:rsidRDefault="00CE6AFC">
      <w:pPr>
        <w:numPr>
          <w:ilvl w:val="3"/>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14:paraId="78E14DF1" w14:textId="77777777" w:rsidR="002C35B8" w:rsidRDefault="00CE6AFC">
      <w:pPr>
        <w:numPr>
          <w:ilvl w:val="3"/>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78E14DF2" w14:textId="77777777" w:rsidR="002C35B8" w:rsidRDefault="00CE6AFC">
      <w:pPr>
        <w:numPr>
          <w:ilvl w:val="3"/>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78E14DF3"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(CCS and Buyer Termination Rights).</w:t>
      </w:r>
    </w:p>
    <w:p w14:paraId="78E14DF4"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78E14DF5"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78E14DF6"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78E14DF7" w14:textId="77777777" w:rsidR="002C35B8" w:rsidRDefault="00CE6AFC">
      <w:pPr>
        <w:numPr>
          <w:ilvl w:val="2"/>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there is no change to the Service Credit Cap.</w:t>
      </w:r>
    </w:p>
    <w:p w14:paraId="78E14DF8" w14:textId="77777777" w:rsidR="002C35B8" w:rsidRDefault="00CE6AFC">
      <w:pPr>
        <w:numPr>
          <w:ilvl w:val="0"/>
          <w:numId w:val="7"/>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78E14DF9" w14:textId="77777777" w:rsidR="002C35B8" w:rsidRDefault="00CE6AFC">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78E14DFA"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8E14DFB" w14:textId="77777777" w:rsidR="002C35B8" w:rsidRDefault="00CE6AFC">
      <w:pPr>
        <w:numPr>
          <w:ilvl w:val="1"/>
          <w:numId w:val="7"/>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78E14DFC" w14:textId="77777777" w:rsidR="002C35B8" w:rsidRDefault="00CE6AFC">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78E14DFD" w14:textId="77777777" w:rsidR="002C35B8" w:rsidRDefault="002C35B8">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78E14DFE" w14:textId="77777777" w:rsidR="002C35B8" w:rsidRDefault="00CE6AFC">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78E14DFF" w14:textId="77777777" w:rsidR="002C35B8" w:rsidRDefault="00CE6AFC">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8E14E00" w14:textId="77777777" w:rsidR="002C35B8" w:rsidRDefault="00CE6AF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78E14E01"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Service Level Performance Measure; or</w:t>
      </w:r>
    </w:p>
    <w:p w14:paraId="78E14E02"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Critical Service Failure to occur, </w:t>
      </w:r>
    </w:p>
    <w:p w14:paraId="78E14E03" w14:textId="77777777" w:rsidR="002C35B8" w:rsidRDefault="00CE6AFC">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78E14E04" w14:textId="77777777" w:rsidR="002C35B8" w:rsidRDefault="00CE6AF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78E14E05" w14:textId="77777777" w:rsidR="002C35B8" w:rsidRDefault="00CE6AF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instruct the Supplier to comply with the Rectification Plan Process; </w:t>
      </w:r>
    </w:p>
    <w:p w14:paraId="78E14E06" w14:textId="77777777" w:rsidR="002C35B8" w:rsidRDefault="00CE6AF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Service Level Failure has occurred, deduct the applicable Service Level Credits payable by the Supplier to the Buyer; and/or</w:t>
      </w:r>
    </w:p>
    <w:p w14:paraId="78E14E07" w14:textId="77777777" w:rsidR="002C35B8" w:rsidRDefault="00CE6AFC">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78E14E08" w14:textId="77777777" w:rsidR="002C35B8" w:rsidRDefault="00CE6AFC">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78E14E09"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78E14E0A"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78E14E0B" w14:textId="77777777" w:rsidR="002C35B8" w:rsidRDefault="00CE6AFC">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t>Annex A to Part A: Services Levels and Service Credits Table</w:t>
      </w:r>
    </w:p>
    <w:p w14:paraId="78E14E0C" w14:textId="77777777" w:rsidR="002C35B8" w:rsidRDefault="00CE6AFC">
      <w:pPr>
        <w:ind w:left="709"/>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 xml:space="preserve">Guidance Note: </w:t>
      </w:r>
      <w:r>
        <w:rPr>
          <w:rFonts w:ascii="Arial" w:eastAsia="Arial" w:hAnsi="Arial" w:cs="Arial"/>
          <w:sz w:val="24"/>
          <w:szCs w:val="24"/>
        </w:rPr>
        <w:t>The following are included by way of example only. Procurement-specific Service Levels should be incorporated]</w:t>
      </w:r>
    </w:p>
    <w:tbl>
      <w:tblPr>
        <w:tblW w:w="89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844"/>
        <w:gridCol w:w="1871"/>
        <w:gridCol w:w="1701"/>
        <w:gridCol w:w="1418"/>
        <w:gridCol w:w="2102"/>
      </w:tblGrid>
      <w:tr w:rsidR="002C35B8" w14:paraId="78E14E10" w14:textId="77777777">
        <w:trPr>
          <w:trHeight w:val="1213"/>
          <w:jc w:val="center"/>
        </w:trPr>
        <w:tc>
          <w:tcPr>
            <w:tcW w:w="6834" w:type="dxa"/>
            <w:gridSpan w:val="4"/>
            <w:shd w:val="clear" w:color="auto" w:fill="D9D9D9"/>
          </w:tcPr>
          <w:p w14:paraId="78E14E0D" w14:textId="77777777" w:rsidR="002C35B8" w:rsidRDefault="00CE6AFC">
            <w:pPr>
              <w:ind w:left="95"/>
              <w:rPr>
                <w:rFonts w:ascii="Arial" w:eastAsia="Arial" w:hAnsi="Arial" w:cs="Arial"/>
                <w:sz w:val="24"/>
                <w:szCs w:val="24"/>
              </w:rPr>
            </w:pPr>
            <w:r>
              <w:rPr>
                <w:rFonts w:ascii="Arial" w:eastAsia="Arial" w:hAnsi="Arial" w:cs="Arial"/>
                <w:sz w:val="24"/>
                <w:szCs w:val="24"/>
              </w:rPr>
              <w:t>Service Levels</w:t>
            </w:r>
          </w:p>
        </w:tc>
        <w:tc>
          <w:tcPr>
            <w:tcW w:w="2102" w:type="dxa"/>
            <w:vMerge w:val="restart"/>
            <w:shd w:val="clear" w:color="auto" w:fill="D9D9D9"/>
            <w:vAlign w:val="center"/>
          </w:tcPr>
          <w:p w14:paraId="78E14E0E" w14:textId="77777777" w:rsidR="002C35B8" w:rsidRDefault="00CE6AFC">
            <w:pPr>
              <w:ind w:left="95"/>
              <w:rPr>
                <w:rFonts w:ascii="Arial" w:eastAsia="Arial" w:hAnsi="Arial" w:cs="Arial"/>
                <w:sz w:val="24"/>
                <w:szCs w:val="24"/>
              </w:rPr>
            </w:pPr>
            <w:r>
              <w:rPr>
                <w:rFonts w:ascii="Arial" w:eastAsia="Arial" w:hAnsi="Arial" w:cs="Arial"/>
                <w:sz w:val="24"/>
                <w:szCs w:val="24"/>
              </w:rPr>
              <w:t>Service Credit for each Service Period</w:t>
            </w:r>
          </w:p>
          <w:p w14:paraId="78E14E0F" w14:textId="77777777" w:rsidR="002C35B8" w:rsidRDefault="002C35B8">
            <w:pPr>
              <w:ind w:left="95"/>
              <w:rPr>
                <w:rFonts w:ascii="Arial" w:eastAsia="Arial" w:hAnsi="Arial" w:cs="Arial"/>
                <w:sz w:val="24"/>
                <w:szCs w:val="24"/>
              </w:rPr>
            </w:pPr>
          </w:p>
        </w:tc>
      </w:tr>
      <w:tr w:rsidR="002C35B8" w14:paraId="78E14E16" w14:textId="77777777">
        <w:trPr>
          <w:trHeight w:val="1213"/>
          <w:jc w:val="center"/>
        </w:trPr>
        <w:tc>
          <w:tcPr>
            <w:tcW w:w="1844" w:type="dxa"/>
            <w:shd w:val="clear" w:color="auto" w:fill="D9D9D9"/>
            <w:vAlign w:val="center"/>
          </w:tcPr>
          <w:p w14:paraId="78E14E11" w14:textId="77777777" w:rsidR="002C35B8" w:rsidRDefault="00CE6AFC">
            <w:pPr>
              <w:ind w:left="61"/>
              <w:rPr>
                <w:rFonts w:ascii="Arial" w:eastAsia="Arial" w:hAnsi="Arial" w:cs="Arial"/>
                <w:sz w:val="24"/>
                <w:szCs w:val="24"/>
              </w:rPr>
            </w:pPr>
            <w:r>
              <w:rPr>
                <w:rFonts w:ascii="Arial" w:eastAsia="Arial" w:hAnsi="Arial" w:cs="Arial"/>
                <w:sz w:val="24"/>
                <w:szCs w:val="24"/>
              </w:rPr>
              <w:t>Service Level Performance Criterion</w:t>
            </w:r>
          </w:p>
        </w:tc>
        <w:tc>
          <w:tcPr>
            <w:tcW w:w="1871" w:type="dxa"/>
            <w:shd w:val="clear" w:color="auto" w:fill="D9D9D9"/>
            <w:vAlign w:val="center"/>
          </w:tcPr>
          <w:p w14:paraId="78E14E12" w14:textId="77777777" w:rsidR="002C35B8" w:rsidRDefault="00CE6AFC">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14:paraId="78E14E13" w14:textId="77777777" w:rsidR="002C35B8" w:rsidRDefault="00CE6AFC">
            <w:pPr>
              <w:rPr>
                <w:rFonts w:ascii="Arial" w:eastAsia="Arial" w:hAnsi="Arial" w:cs="Arial"/>
                <w:sz w:val="24"/>
                <w:szCs w:val="24"/>
              </w:rPr>
            </w:pPr>
            <w:r>
              <w:rPr>
                <w:rFonts w:ascii="Arial" w:eastAsia="Arial" w:hAnsi="Arial" w:cs="Arial"/>
                <w:sz w:val="24"/>
                <w:szCs w:val="24"/>
              </w:rPr>
              <w:t>Service Level Performance Measure</w:t>
            </w:r>
          </w:p>
        </w:tc>
        <w:tc>
          <w:tcPr>
            <w:tcW w:w="1418" w:type="dxa"/>
            <w:shd w:val="clear" w:color="auto" w:fill="D9D9D9"/>
          </w:tcPr>
          <w:p w14:paraId="78E14E14" w14:textId="77777777" w:rsidR="002C35B8" w:rsidRDefault="00CE6AFC">
            <w:pPr>
              <w:ind w:left="95"/>
              <w:rPr>
                <w:rFonts w:ascii="Arial" w:eastAsia="Arial" w:hAnsi="Arial" w:cs="Arial"/>
                <w:sz w:val="24"/>
                <w:szCs w:val="24"/>
              </w:rPr>
            </w:pPr>
            <w:r>
              <w:rPr>
                <w:rFonts w:ascii="Arial" w:eastAsia="Arial" w:hAnsi="Arial" w:cs="Arial"/>
                <w:sz w:val="24"/>
                <w:szCs w:val="24"/>
              </w:rPr>
              <w:t>Service Level Threshold</w:t>
            </w:r>
          </w:p>
        </w:tc>
        <w:tc>
          <w:tcPr>
            <w:tcW w:w="2102" w:type="dxa"/>
            <w:vMerge/>
            <w:shd w:val="clear" w:color="auto" w:fill="D9D9D9"/>
            <w:vAlign w:val="center"/>
          </w:tcPr>
          <w:p w14:paraId="78E14E15" w14:textId="77777777" w:rsidR="002C35B8" w:rsidRDefault="002C35B8">
            <w:pPr>
              <w:widowControl w:val="0"/>
              <w:pBdr>
                <w:top w:val="nil"/>
                <w:left w:val="nil"/>
                <w:bottom w:val="nil"/>
                <w:right w:val="nil"/>
                <w:between w:val="nil"/>
              </w:pBdr>
              <w:spacing w:after="0"/>
              <w:rPr>
                <w:rFonts w:ascii="Arial" w:eastAsia="Arial" w:hAnsi="Arial" w:cs="Arial"/>
                <w:sz w:val="24"/>
                <w:szCs w:val="24"/>
              </w:rPr>
            </w:pPr>
          </w:p>
        </w:tc>
      </w:tr>
      <w:tr w:rsidR="002C35B8" w14:paraId="78E14E1E" w14:textId="77777777">
        <w:trPr>
          <w:trHeight w:val="1474"/>
          <w:jc w:val="center"/>
        </w:trPr>
        <w:tc>
          <w:tcPr>
            <w:tcW w:w="1844" w:type="dxa"/>
          </w:tcPr>
          <w:p w14:paraId="78E14E17" w14:textId="77777777" w:rsidR="002C35B8" w:rsidRDefault="00CE6AFC">
            <w:pPr>
              <w:spacing w:after="120"/>
              <w:ind w:left="61"/>
              <w:rPr>
                <w:rFonts w:ascii="Arial" w:eastAsia="Arial" w:hAnsi="Arial" w:cs="Arial"/>
                <w:sz w:val="24"/>
                <w:szCs w:val="24"/>
              </w:rPr>
            </w:pPr>
            <w:r>
              <w:rPr>
                <w:rFonts w:ascii="Arial" w:eastAsia="Arial" w:hAnsi="Arial" w:cs="Arial"/>
                <w:sz w:val="24"/>
                <w:szCs w:val="24"/>
                <w:highlight w:val="yellow"/>
              </w:rPr>
              <w:t>Response Times</w:t>
            </w:r>
          </w:p>
          <w:p w14:paraId="78E14E18" w14:textId="77777777" w:rsidR="002C35B8" w:rsidRDefault="002C35B8">
            <w:pPr>
              <w:spacing w:after="120"/>
              <w:ind w:left="61"/>
              <w:rPr>
                <w:rFonts w:ascii="Arial" w:eastAsia="Arial" w:hAnsi="Arial" w:cs="Arial"/>
                <w:sz w:val="24"/>
                <w:szCs w:val="24"/>
              </w:rPr>
            </w:pPr>
          </w:p>
        </w:tc>
        <w:tc>
          <w:tcPr>
            <w:tcW w:w="1871" w:type="dxa"/>
          </w:tcPr>
          <w:p w14:paraId="78E14E19"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Cost and inconvenience</w:t>
            </w:r>
          </w:p>
        </w:tc>
        <w:tc>
          <w:tcPr>
            <w:tcW w:w="1701" w:type="dxa"/>
          </w:tcPr>
          <w:p w14:paraId="78E14E1A" w14:textId="77777777" w:rsidR="002C35B8" w:rsidRDefault="00CE6AFC">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78E14E1B" w14:textId="77777777" w:rsidR="002C35B8" w:rsidRDefault="002C35B8">
            <w:pPr>
              <w:spacing w:after="120"/>
              <w:rPr>
                <w:rFonts w:ascii="Arial" w:eastAsia="Arial" w:hAnsi="Arial" w:cs="Arial"/>
                <w:sz w:val="24"/>
                <w:szCs w:val="24"/>
              </w:rPr>
            </w:pPr>
          </w:p>
        </w:tc>
        <w:tc>
          <w:tcPr>
            <w:tcW w:w="1418" w:type="dxa"/>
          </w:tcPr>
          <w:p w14:paraId="78E14E1C"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78E14E1D"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To be calculated as a percentage (%) reduction of the service revenue element of the previous quarter’s print output volume</w:t>
            </w:r>
            <w:r>
              <w:rPr>
                <w:rFonts w:ascii="Arial" w:eastAsia="Arial" w:hAnsi="Arial" w:cs="Arial"/>
                <w:sz w:val="24"/>
                <w:szCs w:val="24"/>
              </w:rPr>
              <w:t xml:space="preserve">. </w:t>
            </w:r>
            <w:r>
              <w:rPr>
                <w:rFonts w:ascii="Arial" w:eastAsia="Arial" w:hAnsi="Arial" w:cs="Arial"/>
                <w:sz w:val="24"/>
                <w:szCs w:val="24"/>
                <w:highlight w:val="yellow"/>
              </w:rPr>
              <w:t>Service Credits shall be applied to the total quarterly service revenue value, inclusive of mono and colour volume charges, where applicable.</w:t>
            </w:r>
          </w:p>
        </w:tc>
      </w:tr>
      <w:tr w:rsidR="002C35B8" w14:paraId="78E14E25" w14:textId="77777777">
        <w:trPr>
          <w:trHeight w:val="1474"/>
          <w:jc w:val="center"/>
        </w:trPr>
        <w:tc>
          <w:tcPr>
            <w:tcW w:w="1844" w:type="dxa"/>
          </w:tcPr>
          <w:p w14:paraId="78E14E1F" w14:textId="77777777" w:rsidR="002C35B8" w:rsidRDefault="00CE6AFC">
            <w:pPr>
              <w:spacing w:after="120"/>
              <w:ind w:left="61"/>
              <w:rPr>
                <w:rFonts w:ascii="Arial" w:eastAsia="Arial" w:hAnsi="Arial" w:cs="Arial"/>
                <w:sz w:val="24"/>
                <w:szCs w:val="24"/>
              </w:rPr>
            </w:pPr>
            <w:r>
              <w:rPr>
                <w:rFonts w:ascii="Arial" w:eastAsia="Arial" w:hAnsi="Arial" w:cs="Arial"/>
                <w:sz w:val="24"/>
                <w:szCs w:val="24"/>
                <w:highlight w:val="yellow"/>
              </w:rPr>
              <w:t xml:space="preserve">Response Times </w:t>
            </w:r>
          </w:p>
        </w:tc>
        <w:tc>
          <w:tcPr>
            <w:tcW w:w="1871" w:type="dxa"/>
          </w:tcPr>
          <w:p w14:paraId="78E14E20"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Timelines</w:t>
            </w:r>
          </w:p>
        </w:tc>
        <w:tc>
          <w:tcPr>
            <w:tcW w:w="1701" w:type="dxa"/>
          </w:tcPr>
          <w:p w14:paraId="78E14E21" w14:textId="77777777" w:rsidR="002C35B8" w:rsidRDefault="00CE6AFC">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78E14E22" w14:textId="77777777" w:rsidR="002C35B8" w:rsidRDefault="002C35B8">
            <w:pPr>
              <w:spacing w:after="120"/>
              <w:rPr>
                <w:rFonts w:ascii="Arial" w:eastAsia="Arial" w:hAnsi="Arial" w:cs="Arial"/>
                <w:sz w:val="24"/>
                <w:szCs w:val="24"/>
              </w:rPr>
            </w:pPr>
          </w:p>
        </w:tc>
        <w:tc>
          <w:tcPr>
            <w:tcW w:w="1418" w:type="dxa"/>
          </w:tcPr>
          <w:p w14:paraId="78E14E23"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78E14E24"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3% where a five (5) hour average Response Time is exceeded and 5% where a six (6) hour average response time is exceeded</w:t>
            </w:r>
          </w:p>
        </w:tc>
      </w:tr>
      <w:tr w:rsidR="002C35B8" w14:paraId="78E14E2E" w14:textId="77777777">
        <w:trPr>
          <w:trHeight w:val="1474"/>
          <w:jc w:val="center"/>
        </w:trPr>
        <w:tc>
          <w:tcPr>
            <w:tcW w:w="1844" w:type="dxa"/>
          </w:tcPr>
          <w:p w14:paraId="78E14E26" w14:textId="77777777" w:rsidR="002C35B8" w:rsidRDefault="00CE6AFC">
            <w:pPr>
              <w:spacing w:after="120"/>
              <w:ind w:left="61"/>
              <w:rPr>
                <w:rFonts w:ascii="Arial" w:eastAsia="Arial" w:hAnsi="Arial" w:cs="Arial"/>
                <w:sz w:val="24"/>
                <w:szCs w:val="24"/>
              </w:rPr>
            </w:pPr>
            <w:r>
              <w:rPr>
                <w:rFonts w:ascii="Arial" w:eastAsia="Arial" w:hAnsi="Arial" w:cs="Arial"/>
                <w:sz w:val="24"/>
                <w:szCs w:val="24"/>
              </w:rPr>
              <w:t>Accurate and timely billing of Buyer</w:t>
            </w:r>
          </w:p>
          <w:p w14:paraId="78E14E27" w14:textId="77777777" w:rsidR="002C35B8" w:rsidRDefault="002C35B8">
            <w:pPr>
              <w:spacing w:after="120"/>
              <w:rPr>
                <w:rFonts w:ascii="Arial" w:eastAsia="Arial" w:hAnsi="Arial" w:cs="Arial"/>
                <w:sz w:val="24"/>
                <w:szCs w:val="24"/>
              </w:rPr>
            </w:pPr>
          </w:p>
        </w:tc>
        <w:tc>
          <w:tcPr>
            <w:tcW w:w="1871" w:type="dxa"/>
          </w:tcPr>
          <w:p w14:paraId="78E14E28"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Accuracy /Timelines</w:t>
            </w:r>
          </w:p>
          <w:p w14:paraId="78E14E29" w14:textId="77777777" w:rsidR="002C35B8" w:rsidRDefault="002C35B8">
            <w:pPr>
              <w:spacing w:after="120"/>
              <w:ind w:left="95"/>
              <w:rPr>
                <w:rFonts w:ascii="Arial" w:eastAsia="Arial" w:hAnsi="Arial" w:cs="Arial"/>
                <w:sz w:val="24"/>
                <w:szCs w:val="24"/>
              </w:rPr>
            </w:pPr>
          </w:p>
        </w:tc>
        <w:tc>
          <w:tcPr>
            <w:tcW w:w="1701" w:type="dxa"/>
          </w:tcPr>
          <w:p w14:paraId="78E14E2A" w14:textId="77777777" w:rsidR="002C35B8" w:rsidRDefault="00CE6AFC">
            <w:pPr>
              <w:spacing w:after="120"/>
              <w:rPr>
                <w:rFonts w:ascii="Arial" w:eastAsia="Arial" w:hAnsi="Arial" w:cs="Arial"/>
                <w:sz w:val="24"/>
                <w:szCs w:val="24"/>
              </w:rPr>
            </w:pPr>
            <w:r>
              <w:rPr>
                <w:rFonts w:ascii="Arial" w:eastAsia="Arial" w:hAnsi="Arial" w:cs="Arial"/>
                <w:sz w:val="24"/>
                <w:szCs w:val="24"/>
              </w:rPr>
              <w:t>at least 98% at all times</w:t>
            </w:r>
          </w:p>
          <w:p w14:paraId="78E14E2B" w14:textId="77777777" w:rsidR="002C35B8" w:rsidRDefault="002C35B8">
            <w:pPr>
              <w:spacing w:after="120"/>
              <w:rPr>
                <w:rFonts w:ascii="Arial" w:eastAsia="Arial" w:hAnsi="Arial" w:cs="Arial"/>
                <w:sz w:val="24"/>
                <w:szCs w:val="24"/>
              </w:rPr>
            </w:pPr>
          </w:p>
        </w:tc>
        <w:tc>
          <w:tcPr>
            <w:tcW w:w="1418" w:type="dxa"/>
          </w:tcPr>
          <w:p w14:paraId="78E14E2C"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78E14E2D"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2C35B8" w14:paraId="78E14E38" w14:textId="77777777">
        <w:trPr>
          <w:trHeight w:val="1474"/>
          <w:jc w:val="center"/>
        </w:trPr>
        <w:tc>
          <w:tcPr>
            <w:tcW w:w="1844" w:type="dxa"/>
          </w:tcPr>
          <w:p w14:paraId="78E14E2F" w14:textId="77777777" w:rsidR="002C35B8" w:rsidRDefault="00CE6AFC">
            <w:pPr>
              <w:spacing w:after="120"/>
              <w:ind w:left="61"/>
              <w:rPr>
                <w:rFonts w:ascii="Arial" w:eastAsia="Arial" w:hAnsi="Arial" w:cs="Arial"/>
                <w:sz w:val="24"/>
                <w:szCs w:val="24"/>
              </w:rPr>
            </w:pPr>
            <w:r>
              <w:rPr>
                <w:rFonts w:ascii="Arial" w:eastAsia="Arial" w:hAnsi="Arial" w:cs="Arial"/>
                <w:sz w:val="24"/>
                <w:szCs w:val="24"/>
              </w:rPr>
              <w:t>Access to Buyer support</w:t>
            </w:r>
          </w:p>
          <w:p w14:paraId="78E14E30" w14:textId="77777777" w:rsidR="002C35B8" w:rsidRDefault="002C35B8">
            <w:pPr>
              <w:spacing w:after="120"/>
              <w:rPr>
                <w:rFonts w:ascii="Arial" w:eastAsia="Arial" w:hAnsi="Arial" w:cs="Arial"/>
                <w:sz w:val="24"/>
                <w:szCs w:val="24"/>
              </w:rPr>
            </w:pPr>
          </w:p>
        </w:tc>
        <w:tc>
          <w:tcPr>
            <w:tcW w:w="1871" w:type="dxa"/>
          </w:tcPr>
          <w:p w14:paraId="78E14E31"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Availability</w:t>
            </w:r>
          </w:p>
          <w:p w14:paraId="78E14E32" w14:textId="77777777" w:rsidR="002C35B8" w:rsidRDefault="002C35B8">
            <w:pPr>
              <w:spacing w:after="120"/>
              <w:ind w:left="95"/>
              <w:rPr>
                <w:rFonts w:ascii="Arial" w:eastAsia="Arial" w:hAnsi="Arial" w:cs="Arial"/>
                <w:sz w:val="24"/>
                <w:szCs w:val="24"/>
              </w:rPr>
            </w:pPr>
          </w:p>
          <w:p w14:paraId="78E14E33" w14:textId="77777777" w:rsidR="002C35B8" w:rsidRDefault="002C35B8">
            <w:pPr>
              <w:spacing w:after="120"/>
              <w:ind w:left="95"/>
              <w:rPr>
                <w:rFonts w:ascii="Arial" w:eastAsia="Arial" w:hAnsi="Arial" w:cs="Arial"/>
                <w:sz w:val="24"/>
                <w:szCs w:val="24"/>
              </w:rPr>
            </w:pPr>
          </w:p>
        </w:tc>
        <w:tc>
          <w:tcPr>
            <w:tcW w:w="1701" w:type="dxa"/>
          </w:tcPr>
          <w:p w14:paraId="78E14E34" w14:textId="77777777" w:rsidR="002C35B8" w:rsidRDefault="00CE6AFC">
            <w:pPr>
              <w:spacing w:after="120"/>
              <w:rPr>
                <w:rFonts w:ascii="Arial" w:eastAsia="Arial" w:hAnsi="Arial" w:cs="Arial"/>
                <w:sz w:val="24"/>
                <w:szCs w:val="24"/>
              </w:rPr>
            </w:pPr>
            <w:r>
              <w:rPr>
                <w:rFonts w:ascii="Arial" w:eastAsia="Arial" w:hAnsi="Arial" w:cs="Arial"/>
                <w:sz w:val="24"/>
                <w:szCs w:val="24"/>
              </w:rPr>
              <w:t>at least 98% at all times</w:t>
            </w:r>
          </w:p>
          <w:p w14:paraId="78E14E35" w14:textId="77777777" w:rsidR="002C35B8" w:rsidRDefault="002C35B8">
            <w:pPr>
              <w:spacing w:after="120"/>
              <w:rPr>
                <w:rFonts w:ascii="Arial" w:eastAsia="Arial" w:hAnsi="Arial" w:cs="Arial"/>
                <w:sz w:val="24"/>
                <w:szCs w:val="24"/>
              </w:rPr>
            </w:pPr>
          </w:p>
        </w:tc>
        <w:tc>
          <w:tcPr>
            <w:tcW w:w="1418" w:type="dxa"/>
          </w:tcPr>
          <w:p w14:paraId="78E14E36"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   ]</w:t>
            </w:r>
          </w:p>
        </w:tc>
        <w:tc>
          <w:tcPr>
            <w:tcW w:w="2102" w:type="dxa"/>
          </w:tcPr>
          <w:p w14:paraId="78E14E37" w14:textId="77777777" w:rsidR="002C35B8" w:rsidRDefault="00CE6AFC">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r>
      <w:tr w:rsidR="002C35B8" w14:paraId="78E14E42" w14:textId="77777777">
        <w:trPr>
          <w:trHeight w:val="1474"/>
          <w:jc w:val="center"/>
        </w:trPr>
        <w:tc>
          <w:tcPr>
            <w:tcW w:w="1844" w:type="dxa"/>
          </w:tcPr>
          <w:p w14:paraId="78E14E39" w14:textId="77777777" w:rsidR="002C35B8" w:rsidRDefault="00CE6AFC">
            <w:pPr>
              <w:spacing w:after="120"/>
              <w:ind w:left="61"/>
              <w:rPr>
                <w:rFonts w:ascii="Arial" w:eastAsia="Arial" w:hAnsi="Arial" w:cs="Arial"/>
                <w:sz w:val="24"/>
                <w:szCs w:val="24"/>
                <w:highlight w:val="yellow"/>
              </w:rPr>
            </w:pPr>
            <w:r>
              <w:rPr>
                <w:rFonts w:ascii="Arial" w:eastAsia="Arial" w:hAnsi="Arial" w:cs="Arial"/>
                <w:sz w:val="24"/>
                <w:szCs w:val="24"/>
                <w:highlight w:val="yellow"/>
              </w:rPr>
              <w:t>Complaints Handling</w:t>
            </w:r>
          </w:p>
          <w:p w14:paraId="78E14E3A" w14:textId="77777777" w:rsidR="002C35B8" w:rsidRDefault="002C35B8">
            <w:pPr>
              <w:spacing w:after="120"/>
              <w:ind w:left="61"/>
              <w:rPr>
                <w:rFonts w:ascii="Arial" w:eastAsia="Arial" w:hAnsi="Arial" w:cs="Arial"/>
                <w:sz w:val="24"/>
                <w:szCs w:val="24"/>
                <w:highlight w:val="yellow"/>
              </w:rPr>
            </w:pPr>
          </w:p>
          <w:p w14:paraId="78E14E3B" w14:textId="77777777" w:rsidR="002C35B8" w:rsidRDefault="002C35B8">
            <w:pPr>
              <w:spacing w:after="120"/>
              <w:ind w:left="61"/>
              <w:rPr>
                <w:rFonts w:ascii="Arial" w:eastAsia="Arial" w:hAnsi="Arial" w:cs="Arial"/>
                <w:sz w:val="24"/>
                <w:szCs w:val="24"/>
              </w:rPr>
            </w:pPr>
          </w:p>
        </w:tc>
        <w:tc>
          <w:tcPr>
            <w:tcW w:w="1871" w:type="dxa"/>
          </w:tcPr>
          <w:p w14:paraId="78E14E3C" w14:textId="77777777" w:rsidR="002C35B8" w:rsidRDefault="00CE6AFC">
            <w:pPr>
              <w:spacing w:after="120"/>
              <w:ind w:left="95"/>
              <w:rPr>
                <w:rFonts w:ascii="Arial" w:eastAsia="Arial" w:hAnsi="Arial" w:cs="Arial"/>
                <w:sz w:val="24"/>
                <w:szCs w:val="24"/>
                <w:highlight w:val="yellow"/>
              </w:rPr>
            </w:pPr>
            <w:r>
              <w:rPr>
                <w:rFonts w:ascii="Arial" w:eastAsia="Arial" w:hAnsi="Arial" w:cs="Arial"/>
                <w:sz w:val="24"/>
                <w:szCs w:val="24"/>
                <w:highlight w:val="yellow"/>
              </w:rPr>
              <w:t>Availability/Timelines</w:t>
            </w:r>
          </w:p>
          <w:p w14:paraId="78E14E3D" w14:textId="77777777" w:rsidR="002C35B8" w:rsidRDefault="002C35B8">
            <w:pPr>
              <w:spacing w:after="120"/>
              <w:ind w:left="95"/>
              <w:rPr>
                <w:rFonts w:ascii="Arial" w:eastAsia="Arial" w:hAnsi="Arial" w:cs="Arial"/>
                <w:sz w:val="24"/>
                <w:szCs w:val="24"/>
              </w:rPr>
            </w:pPr>
          </w:p>
        </w:tc>
        <w:tc>
          <w:tcPr>
            <w:tcW w:w="1701" w:type="dxa"/>
          </w:tcPr>
          <w:p w14:paraId="78E14E3E" w14:textId="77777777" w:rsidR="002C35B8" w:rsidRDefault="00CE6AFC">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78E14E3F" w14:textId="77777777" w:rsidR="002C35B8" w:rsidRDefault="002C35B8">
            <w:pPr>
              <w:spacing w:after="120"/>
              <w:rPr>
                <w:rFonts w:ascii="Arial" w:eastAsia="Arial" w:hAnsi="Arial" w:cs="Arial"/>
                <w:sz w:val="24"/>
                <w:szCs w:val="24"/>
              </w:rPr>
            </w:pPr>
          </w:p>
        </w:tc>
        <w:tc>
          <w:tcPr>
            <w:tcW w:w="1418" w:type="dxa"/>
          </w:tcPr>
          <w:p w14:paraId="78E14E40"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78E14E41"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0.5% Service Credit gained for each percentage under the specified Service Level Performance Measure</w:t>
            </w:r>
          </w:p>
        </w:tc>
      </w:tr>
      <w:tr w:rsidR="002C35B8" w14:paraId="78E14E4C" w14:textId="77777777">
        <w:trPr>
          <w:trHeight w:val="1474"/>
          <w:jc w:val="center"/>
        </w:trPr>
        <w:tc>
          <w:tcPr>
            <w:tcW w:w="1844" w:type="dxa"/>
          </w:tcPr>
          <w:p w14:paraId="78E14E43" w14:textId="77777777" w:rsidR="002C35B8" w:rsidRDefault="00CE6AFC">
            <w:pPr>
              <w:spacing w:after="120"/>
              <w:ind w:left="61"/>
              <w:rPr>
                <w:rFonts w:ascii="Arial" w:eastAsia="Arial" w:hAnsi="Arial" w:cs="Arial"/>
                <w:sz w:val="24"/>
                <w:szCs w:val="24"/>
                <w:highlight w:val="yellow"/>
              </w:rPr>
            </w:pPr>
            <w:r>
              <w:rPr>
                <w:rFonts w:ascii="Arial" w:eastAsia="Arial" w:hAnsi="Arial" w:cs="Arial"/>
                <w:sz w:val="24"/>
                <w:szCs w:val="24"/>
                <w:highlight w:val="yellow"/>
              </w:rPr>
              <w:t>provision of specific Goods and/or Services</w:t>
            </w:r>
          </w:p>
          <w:p w14:paraId="78E14E44" w14:textId="77777777" w:rsidR="002C35B8" w:rsidRDefault="002C35B8">
            <w:pPr>
              <w:spacing w:after="120"/>
              <w:ind w:left="61"/>
              <w:rPr>
                <w:rFonts w:ascii="Arial" w:eastAsia="Arial" w:hAnsi="Arial" w:cs="Arial"/>
                <w:sz w:val="24"/>
                <w:szCs w:val="24"/>
              </w:rPr>
            </w:pPr>
          </w:p>
        </w:tc>
        <w:tc>
          <w:tcPr>
            <w:tcW w:w="1871" w:type="dxa"/>
          </w:tcPr>
          <w:p w14:paraId="78E14E45" w14:textId="77777777" w:rsidR="002C35B8" w:rsidRDefault="00CE6AFC">
            <w:pPr>
              <w:spacing w:after="120"/>
              <w:ind w:left="95"/>
              <w:rPr>
                <w:rFonts w:ascii="Arial" w:eastAsia="Arial" w:hAnsi="Arial" w:cs="Arial"/>
                <w:sz w:val="24"/>
                <w:szCs w:val="24"/>
                <w:highlight w:val="yellow"/>
              </w:rPr>
            </w:pPr>
            <w:r>
              <w:rPr>
                <w:rFonts w:ascii="Arial" w:eastAsia="Arial" w:hAnsi="Arial" w:cs="Arial"/>
                <w:sz w:val="24"/>
                <w:szCs w:val="24"/>
                <w:highlight w:val="yellow"/>
              </w:rPr>
              <w:t>Quality</w:t>
            </w:r>
          </w:p>
          <w:p w14:paraId="78E14E46" w14:textId="77777777" w:rsidR="002C35B8" w:rsidRDefault="002C35B8">
            <w:pPr>
              <w:spacing w:after="120"/>
              <w:ind w:left="95"/>
              <w:rPr>
                <w:rFonts w:ascii="Arial" w:eastAsia="Arial" w:hAnsi="Arial" w:cs="Arial"/>
                <w:sz w:val="24"/>
                <w:szCs w:val="24"/>
                <w:highlight w:val="yellow"/>
              </w:rPr>
            </w:pPr>
          </w:p>
          <w:p w14:paraId="78E14E47" w14:textId="77777777" w:rsidR="002C35B8" w:rsidRDefault="002C35B8">
            <w:pPr>
              <w:spacing w:after="120"/>
              <w:ind w:left="95"/>
              <w:rPr>
                <w:rFonts w:ascii="Arial" w:eastAsia="Arial" w:hAnsi="Arial" w:cs="Arial"/>
                <w:sz w:val="24"/>
                <w:szCs w:val="24"/>
              </w:rPr>
            </w:pPr>
          </w:p>
        </w:tc>
        <w:tc>
          <w:tcPr>
            <w:tcW w:w="1701" w:type="dxa"/>
          </w:tcPr>
          <w:p w14:paraId="78E14E48" w14:textId="77777777" w:rsidR="002C35B8" w:rsidRDefault="00CE6AFC">
            <w:pPr>
              <w:spacing w:after="120"/>
              <w:rPr>
                <w:rFonts w:ascii="Arial" w:eastAsia="Arial" w:hAnsi="Arial" w:cs="Arial"/>
                <w:sz w:val="24"/>
                <w:szCs w:val="24"/>
                <w:highlight w:val="yellow"/>
              </w:rPr>
            </w:pPr>
            <w:r>
              <w:rPr>
                <w:rFonts w:ascii="Arial" w:eastAsia="Arial" w:hAnsi="Arial" w:cs="Arial"/>
                <w:sz w:val="24"/>
                <w:szCs w:val="24"/>
                <w:highlight w:val="yellow"/>
              </w:rPr>
              <w:t>at least 98% at all times</w:t>
            </w:r>
          </w:p>
          <w:p w14:paraId="78E14E49" w14:textId="77777777" w:rsidR="002C35B8" w:rsidRDefault="002C35B8">
            <w:pPr>
              <w:spacing w:after="120"/>
              <w:rPr>
                <w:rFonts w:ascii="Arial" w:eastAsia="Arial" w:hAnsi="Arial" w:cs="Arial"/>
                <w:sz w:val="24"/>
                <w:szCs w:val="24"/>
              </w:rPr>
            </w:pPr>
          </w:p>
        </w:tc>
        <w:tc>
          <w:tcPr>
            <w:tcW w:w="1418" w:type="dxa"/>
          </w:tcPr>
          <w:p w14:paraId="78E14E4A"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   ]</w:t>
            </w:r>
          </w:p>
        </w:tc>
        <w:tc>
          <w:tcPr>
            <w:tcW w:w="2102" w:type="dxa"/>
          </w:tcPr>
          <w:p w14:paraId="78E14E4B" w14:textId="77777777" w:rsidR="002C35B8" w:rsidRDefault="00CE6AFC">
            <w:pPr>
              <w:spacing w:after="120"/>
              <w:ind w:left="95"/>
              <w:rPr>
                <w:rFonts w:ascii="Arial" w:eastAsia="Arial" w:hAnsi="Arial" w:cs="Arial"/>
                <w:sz w:val="24"/>
                <w:szCs w:val="24"/>
              </w:rPr>
            </w:pPr>
            <w:r>
              <w:rPr>
                <w:rFonts w:ascii="Arial" w:eastAsia="Arial" w:hAnsi="Arial" w:cs="Arial"/>
                <w:sz w:val="24"/>
                <w:szCs w:val="24"/>
                <w:highlight w:val="yellow"/>
              </w:rPr>
              <w:t>2% Service Credit gained for each percentage under the specified Service Level Performance Measure</w:t>
            </w:r>
          </w:p>
        </w:tc>
      </w:tr>
      <w:tr w:rsidR="002C35B8" w14:paraId="78E14E54" w14:textId="77777777">
        <w:trPr>
          <w:trHeight w:val="1474"/>
          <w:jc w:val="center"/>
        </w:trPr>
        <w:tc>
          <w:tcPr>
            <w:tcW w:w="1844" w:type="dxa"/>
          </w:tcPr>
          <w:p w14:paraId="78E14E4D" w14:textId="77777777" w:rsidR="002C35B8" w:rsidRDefault="00CE6AFC">
            <w:pPr>
              <w:spacing w:after="120"/>
              <w:ind w:left="61"/>
              <w:rPr>
                <w:highlight w:val="yellow"/>
              </w:rPr>
            </w:pPr>
            <w:r>
              <w:rPr>
                <w:highlight w:val="yellow"/>
              </w:rPr>
              <w:t>Timely provision  of the Goods and/or Services [** hours a day, ** days a week.]</w:t>
            </w:r>
          </w:p>
        </w:tc>
        <w:tc>
          <w:tcPr>
            <w:tcW w:w="1871" w:type="dxa"/>
          </w:tcPr>
          <w:p w14:paraId="78E14E4E" w14:textId="77777777" w:rsidR="002C35B8" w:rsidRDefault="00CE6AFC">
            <w:pPr>
              <w:spacing w:after="120"/>
              <w:ind w:left="95"/>
              <w:rPr>
                <w:highlight w:val="yellow"/>
              </w:rPr>
            </w:pPr>
            <w:r>
              <w:rPr>
                <w:highlight w:val="yellow"/>
              </w:rPr>
              <w:t>Goods and/or Services Availability</w:t>
            </w:r>
          </w:p>
          <w:p w14:paraId="78E14E4F" w14:textId="77777777" w:rsidR="002C35B8" w:rsidRDefault="002C35B8">
            <w:pPr>
              <w:spacing w:after="120"/>
              <w:ind w:left="95"/>
              <w:rPr>
                <w:highlight w:val="yellow"/>
              </w:rPr>
            </w:pPr>
          </w:p>
        </w:tc>
        <w:tc>
          <w:tcPr>
            <w:tcW w:w="1701" w:type="dxa"/>
          </w:tcPr>
          <w:p w14:paraId="78E14E50" w14:textId="77777777" w:rsidR="002C35B8" w:rsidRDefault="00CE6AFC">
            <w:pPr>
              <w:spacing w:after="120"/>
              <w:rPr>
                <w:highlight w:val="yellow"/>
              </w:rPr>
            </w:pPr>
            <w:r>
              <w:rPr>
                <w:highlight w:val="yellow"/>
              </w:rPr>
              <w:t>at least 98% at all times</w:t>
            </w:r>
          </w:p>
          <w:p w14:paraId="78E14E51" w14:textId="77777777" w:rsidR="002C35B8" w:rsidRDefault="002C35B8">
            <w:pPr>
              <w:spacing w:after="120"/>
              <w:rPr>
                <w:highlight w:val="yellow"/>
              </w:rPr>
            </w:pPr>
          </w:p>
        </w:tc>
        <w:tc>
          <w:tcPr>
            <w:tcW w:w="1418" w:type="dxa"/>
          </w:tcPr>
          <w:p w14:paraId="78E14E52" w14:textId="77777777" w:rsidR="002C35B8" w:rsidRDefault="00CE6AFC">
            <w:pPr>
              <w:spacing w:after="120"/>
              <w:ind w:left="95"/>
              <w:rPr>
                <w:highlight w:val="yellow"/>
              </w:rPr>
            </w:pPr>
            <w:r>
              <w:rPr>
                <w:highlight w:val="yellow"/>
              </w:rPr>
              <w:t>[   ]</w:t>
            </w:r>
          </w:p>
        </w:tc>
        <w:tc>
          <w:tcPr>
            <w:tcW w:w="2102" w:type="dxa"/>
          </w:tcPr>
          <w:p w14:paraId="78E14E53" w14:textId="77777777" w:rsidR="002C35B8" w:rsidRDefault="00CE6AFC">
            <w:pPr>
              <w:spacing w:after="120"/>
              <w:ind w:left="95"/>
              <w:rPr>
                <w:highlight w:val="yellow"/>
              </w:rPr>
            </w:pPr>
            <w:r>
              <w:rPr>
                <w:highlight w:val="yellow"/>
              </w:rPr>
              <w:t>2% Service Credit gained for each percentage under the specified Service Level Performance Measure</w:t>
            </w:r>
            <w:r>
              <w:rPr>
                <w:b/>
                <w:highlight w:val="yellow"/>
              </w:rPr>
              <w:t>]</w:t>
            </w:r>
          </w:p>
        </w:tc>
      </w:tr>
    </w:tbl>
    <w:p w14:paraId="78E14E55" w14:textId="77777777" w:rsidR="002C35B8" w:rsidRDefault="002C35B8">
      <w:pPr>
        <w:ind w:left="709"/>
        <w:rPr>
          <w:rFonts w:ascii="Arial" w:eastAsia="Arial" w:hAnsi="Arial" w:cs="Arial"/>
          <w:sz w:val="24"/>
          <w:szCs w:val="24"/>
          <w:highlight w:val="green"/>
        </w:rPr>
      </w:pPr>
    </w:p>
    <w:p w14:paraId="78E14E56" w14:textId="77777777" w:rsidR="002C35B8" w:rsidRDefault="00CE6AFC">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78E14E57" w14:textId="77777777" w:rsidR="002C35B8" w:rsidRDefault="00CE6AFC">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W w:w="9026" w:type="dxa"/>
        <w:tblLayout w:type="fixed"/>
        <w:tblCellMar>
          <w:left w:w="115" w:type="dxa"/>
          <w:right w:w="115" w:type="dxa"/>
        </w:tblCellMar>
        <w:tblLook w:val="0000" w:firstRow="0" w:lastRow="0" w:firstColumn="0" w:lastColumn="0" w:noHBand="0" w:noVBand="0"/>
      </w:tblPr>
      <w:tblGrid>
        <w:gridCol w:w="4375"/>
        <w:gridCol w:w="685"/>
        <w:gridCol w:w="3966"/>
      </w:tblGrid>
      <w:tr w:rsidR="002C35B8" w14:paraId="78E14E5B" w14:textId="77777777">
        <w:tc>
          <w:tcPr>
            <w:tcW w:w="4375" w:type="dxa"/>
          </w:tcPr>
          <w:p w14:paraId="78E14E58" w14:textId="77777777" w:rsidR="002C35B8" w:rsidRDefault="00CE6AFC">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78E14E59" w14:textId="77777777" w:rsidR="002C35B8" w:rsidRDefault="00CE6AFC">
            <w:pPr>
              <w:ind w:left="211"/>
              <w:rPr>
                <w:rFonts w:ascii="Arial" w:eastAsia="Arial" w:hAnsi="Arial" w:cs="Arial"/>
                <w:sz w:val="24"/>
                <w:szCs w:val="24"/>
              </w:rPr>
            </w:pPr>
            <w:r>
              <w:rPr>
                <w:rFonts w:ascii="Arial" w:eastAsia="Arial" w:hAnsi="Arial" w:cs="Arial"/>
                <w:sz w:val="24"/>
                <w:szCs w:val="24"/>
              </w:rPr>
              <w:t>=</w:t>
            </w:r>
          </w:p>
        </w:tc>
        <w:tc>
          <w:tcPr>
            <w:tcW w:w="3966" w:type="dxa"/>
          </w:tcPr>
          <w:p w14:paraId="78E14E5A" w14:textId="77777777" w:rsidR="002C35B8" w:rsidRDefault="00CE6AFC">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2C35B8" w14:paraId="78E14E61" w14:textId="77777777">
        <w:tc>
          <w:tcPr>
            <w:tcW w:w="4375" w:type="dxa"/>
          </w:tcPr>
          <w:p w14:paraId="78E14E5C" w14:textId="77777777" w:rsidR="002C35B8" w:rsidRDefault="00CE6AFC">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78E14E5D" w14:textId="77777777" w:rsidR="002C35B8" w:rsidRDefault="002C35B8">
            <w:pPr>
              <w:ind w:left="567"/>
              <w:rPr>
                <w:rFonts w:ascii="Arial" w:eastAsia="Arial" w:hAnsi="Arial" w:cs="Arial"/>
                <w:sz w:val="24"/>
                <w:szCs w:val="24"/>
              </w:rPr>
            </w:pPr>
          </w:p>
        </w:tc>
        <w:tc>
          <w:tcPr>
            <w:tcW w:w="685" w:type="dxa"/>
          </w:tcPr>
          <w:p w14:paraId="78E14E5E" w14:textId="77777777" w:rsidR="002C35B8" w:rsidRDefault="00CE6AFC">
            <w:pPr>
              <w:ind w:left="211"/>
              <w:rPr>
                <w:rFonts w:ascii="Arial" w:eastAsia="Arial" w:hAnsi="Arial" w:cs="Arial"/>
                <w:sz w:val="24"/>
                <w:szCs w:val="24"/>
              </w:rPr>
            </w:pPr>
            <w:r>
              <w:rPr>
                <w:rFonts w:ascii="Arial" w:eastAsia="Arial" w:hAnsi="Arial" w:cs="Arial"/>
                <w:sz w:val="24"/>
                <w:szCs w:val="24"/>
              </w:rPr>
              <w:t>=</w:t>
            </w:r>
          </w:p>
        </w:tc>
        <w:tc>
          <w:tcPr>
            <w:tcW w:w="3966" w:type="dxa"/>
          </w:tcPr>
          <w:p w14:paraId="78E14E5F" w14:textId="77777777" w:rsidR="002C35B8" w:rsidRDefault="00CE6AFC">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78E14E60" w14:textId="77777777" w:rsidR="002C35B8" w:rsidRDefault="002C35B8">
            <w:pPr>
              <w:ind w:left="145"/>
              <w:rPr>
                <w:rFonts w:ascii="Arial" w:eastAsia="Arial" w:hAnsi="Arial" w:cs="Arial"/>
                <w:sz w:val="24"/>
                <w:szCs w:val="24"/>
              </w:rPr>
            </w:pPr>
          </w:p>
        </w:tc>
      </w:tr>
    </w:tbl>
    <w:p w14:paraId="78E14E62" w14:textId="77777777" w:rsidR="002C35B8" w:rsidRDefault="00CE6AFC">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B: Performance Monitoring </w:t>
      </w:r>
    </w:p>
    <w:p w14:paraId="78E14E63" w14:textId="77777777" w:rsidR="002C35B8" w:rsidRDefault="00CE6AFC">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Performance Monitoring and Performance Review</w:t>
      </w:r>
    </w:p>
    <w:p w14:paraId="78E14E64"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78E14E65" w14:textId="77777777" w:rsidR="002C35B8" w:rsidRDefault="00CE6AFC">
      <w:pPr>
        <w:keepNext/>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78E14E66"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Service Level, the actual performance achieved over the Service Level for the relevant Service Period;</w:t>
      </w:r>
    </w:p>
    <w:p w14:paraId="78E14E67"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Service Levels that occurred during that Service Period;</w:t>
      </w:r>
    </w:p>
    <w:p w14:paraId="78E14E68"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Critical Service Level Failures;</w:t>
      </w:r>
    </w:p>
    <w:p w14:paraId="78E14E69"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repeat failures, actions taken to resolve the underlying cause and prevent recurrence;</w:t>
      </w:r>
    </w:p>
    <w:p w14:paraId="78E14E6A"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78E14E6B"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78E14E6C" w14:textId="77777777" w:rsidR="002C35B8" w:rsidRDefault="00CE6AFC">
      <w:pPr>
        <w:keepNext/>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78E14E6D"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78E14E6E"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78E14E6F" w14:textId="77777777" w:rsidR="002C35B8" w:rsidRDefault="00CE6AFC">
      <w:pPr>
        <w:numPr>
          <w:ilvl w:val="2"/>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78E14E70"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14:paraId="78E14E71"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8E14E72" w14:textId="77777777" w:rsidR="002C35B8" w:rsidRDefault="002C35B8">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78E14E73" w14:textId="77777777" w:rsidR="002C35B8" w:rsidRDefault="00CE6AFC">
      <w:pPr>
        <w:numPr>
          <w:ilvl w:val="0"/>
          <w:numId w:val="9"/>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78E14E74" w14:textId="77777777" w:rsidR="002C35B8" w:rsidRDefault="00CE6AFC">
      <w:pPr>
        <w:numPr>
          <w:ilvl w:val="1"/>
          <w:numId w:val="9"/>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8E14E75" w14:textId="77777777" w:rsidR="002C35B8" w:rsidRDefault="002C35B8">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0" w:name="_heading=h.gjdgxs" w:colFirst="0" w:colLast="0"/>
      <w:bookmarkEnd w:id="0"/>
    </w:p>
    <w:sectPr w:rsidR="002C35B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88B8" w14:textId="77777777" w:rsidR="00CE6AFC" w:rsidRDefault="00CE6AFC">
      <w:pPr>
        <w:spacing w:after="0" w:line="240" w:lineRule="auto"/>
      </w:pPr>
      <w:r>
        <w:separator/>
      </w:r>
    </w:p>
  </w:endnote>
  <w:endnote w:type="continuationSeparator" w:id="0">
    <w:p w14:paraId="52063297" w14:textId="77777777" w:rsidR="00CE6AFC" w:rsidRDefault="00CE6AFC">
      <w:pPr>
        <w:spacing w:after="0" w:line="240" w:lineRule="auto"/>
      </w:pPr>
      <w:r>
        <w:continuationSeparator/>
      </w:r>
    </w:p>
  </w:endnote>
  <w:endnote w:type="continuationNotice" w:id="1">
    <w:p w14:paraId="1BC44D92" w14:textId="77777777" w:rsidR="008D1FE4" w:rsidRDefault="008D1F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BA363" w14:textId="77777777" w:rsidR="00CE6AFC" w:rsidRDefault="00CE6A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14E7A" w14:textId="77777777" w:rsidR="00CE6AFC" w:rsidRDefault="00CE6AFC">
    <w:pPr>
      <w:tabs>
        <w:tab w:val="center" w:pos="4513"/>
        <w:tab w:val="right" w:pos="9026"/>
      </w:tabs>
      <w:spacing w:after="0" w:line="240" w:lineRule="auto"/>
      <w:jc w:val="both"/>
    </w:pPr>
  </w:p>
  <w:p w14:paraId="78E14E7B" w14:textId="333973D9"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6174</w:t>
    </w:r>
    <w:bookmarkStart w:id="1" w:name="_GoBack"/>
    <w:bookmarkEnd w:id="1"/>
  </w:p>
  <w:p w14:paraId="78E14E7C" w14:textId="3E1E193C"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D1FE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8E14E7D"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14E7E" w14:textId="77777777" w:rsidR="00CE6AFC" w:rsidRDefault="00CE6AFC">
    <w:pPr>
      <w:tabs>
        <w:tab w:val="center" w:pos="4513"/>
        <w:tab w:val="right" w:pos="9026"/>
      </w:tabs>
      <w:spacing w:after="0" w:line="240" w:lineRule="auto"/>
      <w:jc w:val="both"/>
    </w:pPr>
  </w:p>
  <w:p w14:paraId="78E14E7F"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78E14E80"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78E14E81" w14:textId="77777777" w:rsidR="00CE6AFC" w:rsidRDefault="00CE6AFC">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Model Version :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4E172" w14:textId="77777777" w:rsidR="00CE6AFC" w:rsidRDefault="00CE6AFC">
      <w:pPr>
        <w:spacing w:after="0" w:line="240" w:lineRule="auto"/>
      </w:pPr>
      <w:r>
        <w:separator/>
      </w:r>
    </w:p>
  </w:footnote>
  <w:footnote w:type="continuationSeparator" w:id="0">
    <w:p w14:paraId="014F6DA2" w14:textId="77777777" w:rsidR="00CE6AFC" w:rsidRDefault="00CE6AFC">
      <w:pPr>
        <w:spacing w:after="0" w:line="240" w:lineRule="auto"/>
      </w:pPr>
      <w:r>
        <w:continuationSeparator/>
      </w:r>
    </w:p>
  </w:footnote>
  <w:footnote w:type="continuationNotice" w:id="1">
    <w:p w14:paraId="066C0A1F" w14:textId="77777777" w:rsidR="008D1FE4" w:rsidRDefault="008D1FE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AEA7D" w14:textId="77777777" w:rsidR="00CE6AFC" w:rsidRDefault="00CE6A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14E76"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78E14E77"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78E14E78" w14:textId="77777777" w:rsidR="00CE6AFC" w:rsidRDefault="00CE6A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78E14E79" w14:textId="77777777" w:rsidR="00CE6AFC" w:rsidRDefault="00CE6AFC">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48508" w14:textId="77777777" w:rsidR="00CE6AFC" w:rsidRDefault="00CE6A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43AD7"/>
    <w:multiLevelType w:val="multilevel"/>
    <w:tmpl w:val="1B8AFE9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3E7179E"/>
    <w:multiLevelType w:val="multilevel"/>
    <w:tmpl w:val="A050CFBC"/>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A1346ED"/>
    <w:multiLevelType w:val="multilevel"/>
    <w:tmpl w:val="792C1B9C"/>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418C671F"/>
    <w:multiLevelType w:val="multilevel"/>
    <w:tmpl w:val="9A0A166E"/>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1A16E76"/>
    <w:multiLevelType w:val="multilevel"/>
    <w:tmpl w:val="03CC2AA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A646C0D"/>
    <w:multiLevelType w:val="multilevel"/>
    <w:tmpl w:val="E8E05CE0"/>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6935BA2"/>
    <w:multiLevelType w:val="multilevel"/>
    <w:tmpl w:val="637A9F1E"/>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6B295C78"/>
    <w:multiLevelType w:val="multilevel"/>
    <w:tmpl w:val="675C8F6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D662A99"/>
    <w:multiLevelType w:val="multilevel"/>
    <w:tmpl w:val="AEF220B0"/>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67112A1"/>
    <w:multiLevelType w:val="multilevel"/>
    <w:tmpl w:val="DC10F1CC"/>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5"/>
  </w:num>
  <w:num w:numId="2">
    <w:abstractNumId w:val="2"/>
  </w:num>
  <w:num w:numId="3">
    <w:abstractNumId w:val="4"/>
  </w:num>
  <w:num w:numId="4">
    <w:abstractNumId w:val="0"/>
  </w:num>
  <w:num w:numId="5">
    <w:abstractNumId w:val="3"/>
  </w:num>
  <w:num w:numId="6">
    <w:abstractNumId w:val="9"/>
  </w:num>
  <w:num w:numId="7">
    <w:abstractNumId w:val="6"/>
  </w:num>
  <w:num w:numId="8">
    <w:abstractNumId w:val="7"/>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B8"/>
    <w:rsid w:val="001905EA"/>
    <w:rsid w:val="002C35B8"/>
    <w:rsid w:val="008501FA"/>
    <w:rsid w:val="008D1FE4"/>
    <w:rsid w:val="00CE6A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8E14DC9"/>
  <w15:docId w15:val="{75A0AE60-841B-41F0-A58B-F8DC6ECD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6"/>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6"/>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6"/>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7"/>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10"/>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tPpojPw4KGyItMd52uYAQedZuQ==">AMUW2mVgzvd8QiK/NIr88FfA/wN0pomhaiRY2tqOMcz1g1JFTBw+p9n/bqWKPr5vdo5l3/0iL//LT70yTqJgd6JH9nhYB26E8UEOt8PCuv9I2Wah7NR4DgWiWOv2CCdA+VqhMNDjCJUB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2</cp:revision>
  <dcterms:created xsi:type="dcterms:W3CDTF">2021-02-15T13:29:00Z</dcterms:created>
  <dcterms:modified xsi:type="dcterms:W3CDTF">2021-04-01T16:24:00Z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